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1B53C918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B934D0">
        <w:rPr>
          <w:lang w:val="en-US"/>
        </w:rPr>
        <w:t>3</w:t>
      </w:r>
      <w:r w:rsidRPr="000C5734">
        <w:rPr>
          <w:lang w:val="en-US"/>
        </w:rPr>
        <w:tab/>
      </w:r>
      <w:r w:rsidR="00321A94" w:rsidRPr="00694B21">
        <w:rPr>
          <w:lang w:val="en-US"/>
        </w:rPr>
        <w:t>R1-</w:t>
      </w:r>
      <w:r w:rsidR="00ED34F0" w:rsidRPr="00694B21">
        <w:rPr>
          <w:lang w:val="en-US"/>
        </w:rPr>
        <w:t>18</w:t>
      </w:r>
      <w:r w:rsidR="00694B21" w:rsidRPr="00694B21">
        <w:rPr>
          <w:lang w:val="en-US"/>
        </w:rPr>
        <w:t>06233</w:t>
      </w:r>
    </w:p>
    <w:p w14:paraId="43AE20FE" w14:textId="226A8B16" w:rsidR="00045AA3" w:rsidRPr="007679B0" w:rsidRDefault="00B934D0" w:rsidP="00045AA3">
      <w:pPr>
        <w:pStyle w:val="3GPPHeader"/>
        <w:rPr>
          <w:lang w:val="en-US"/>
        </w:rPr>
      </w:pPr>
      <w:r w:rsidRPr="00A20184">
        <w:rPr>
          <w:lang w:val="en-US"/>
        </w:rPr>
        <w:t>Busan, Korea, May 21</w:t>
      </w:r>
      <w:r w:rsidRPr="00A20184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Pr="00A20184">
        <w:rPr>
          <w:lang w:val="en-US"/>
        </w:rPr>
        <w:t>– 25</w:t>
      </w:r>
      <w:r w:rsidRPr="00A20184">
        <w:rPr>
          <w:vertAlign w:val="superscript"/>
          <w:lang w:val="en-US"/>
        </w:rPr>
        <w:t>th</w:t>
      </w:r>
      <w:r w:rsidRPr="00A2018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00EFAC0D" w14:textId="638DFE92" w:rsidR="00904CFD" w:rsidRDefault="00904CFD" w:rsidP="007D7D2B">
      <w:pPr>
        <w:pStyle w:val="3GPPHeader"/>
      </w:pPr>
      <w:r w:rsidRPr="00327997">
        <w:t>Title:</w:t>
      </w:r>
      <w:r w:rsidRPr="00327997">
        <w:tab/>
      </w:r>
      <w:r w:rsidR="00B934D0">
        <w:t xml:space="preserve">On high PAPR </w:t>
      </w:r>
      <w:r w:rsidR="00D72B57">
        <w:t xml:space="preserve">in </w:t>
      </w:r>
      <w:r w:rsidR="00B934D0">
        <w:t xml:space="preserve">rank 2 </w:t>
      </w:r>
      <w:r w:rsidR="00D72B57">
        <w:t xml:space="preserve">transmissions </w:t>
      </w:r>
      <w:r w:rsidR="00B934D0">
        <w:t xml:space="preserve">with FDM of </w:t>
      </w:r>
      <w:r w:rsidR="007D7D2B">
        <w:t>DMRS</w:t>
      </w:r>
      <w:r w:rsidR="00B934D0">
        <w:t xml:space="preserve"> ports</w:t>
      </w:r>
    </w:p>
    <w:p w14:paraId="19F64D3B" w14:textId="7E5373CE" w:rsidR="00BD6182" w:rsidRPr="00327997" w:rsidRDefault="00BD6182" w:rsidP="007D7D2B">
      <w:pPr>
        <w:pStyle w:val="3GPPHeader"/>
      </w:pPr>
      <w:r>
        <w:t>Agenda:</w:t>
      </w:r>
      <w:r>
        <w:tab/>
        <w:t>7.1.2.3.</w:t>
      </w:r>
      <w:r w:rsidR="00B934D0">
        <w:t>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3F33CC7" w14:textId="77777777" w:rsidR="00ED7672" w:rsidRDefault="00425DE8" w:rsidP="00B934D0">
      <w:pPr>
        <w:pStyle w:val="BodyText"/>
      </w:pPr>
      <w:r>
        <w:t>In multi-layer transmission</w:t>
      </w:r>
      <w:r w:rsidR="00B476CF">
        <w:t>s</w:t>
      </w:r>
      <w:r>
        <w:t xml:space="preserve"> with non-diagonal precoding of DMRS ports associated with different CDM groups, </w:t>
      </w:r>
      <w:r w:rsidR="00B476CF">
        <w:t>t</w:t>
      </w:r>
      <w:r>
        <w:t xml:space="preserve">he </w:t>
      </w:r>
      <w:r w:rsidR="00D72B57">
        <w:t xml:space="preserve">current mapping of DMRS </w:t>
      </w:r>
      <w:r w:rsidR="00355EB8">
        <w:t xml:space="preserve">can </w:t>
      </w:r>
      <w:r>
        <w:t xml:space="preserve">result </w:t>
      </w:r>
      <w:r w:rsidR="00D72B57">
        <w:t xml:space="preserve">in </w:t>
      </w:r>
      <w:r w:rsidR="00355EB8">
        <w:t xml:space="preserve">significantly </w:t>
      </w:r>
      <w:r w:rsidR="00D72B57">
        <w:t xml:space="preserve">higher PAPR than </w:t>
      </w:r>
      <w:r w:rsidR="00B476CF">
        <w:t xml:space="preserve">corresponding PAPR of symbols carrying PDSCH or PUSCH only. This is evidently a non-desirable property </w:t>
      </w:r>
      <w:r w:rsidR="00355EB8">
        <w:t xml:space="preserve">that should be avoided. </w:t>
      </w:r>
    </w:p>
    <w:p w14:paraId="3EB5278A" w14:textId="5BEF3C90" w:rsidR="003F1564" w:rsidRPr="00B934D0" w:rsidRDefault="008D10E2" w:rsidP="00B934D0">
      <w:pPr>
        <w:pStyle w:val="BodyText"/>
      </w:pPr>
      <w:r w:rsidRPr="0036514D">
        <w:t>In this contribution, we discuss</w:t>
      </w:r>
      <w:r w:rsidR="00355EB8">
        <w:t xml:space="preserve"> how high PAPR can be avoided with current DMRS mapping for the case of rank 2 transmissions with DMRS ports from CDM group</w:t>
      </w:r>
      <w:r w:rsidR="00737501">
        <w:t xml:space="preserve"> 0 and 1</w:t>
      </w:r>
      <w:r w:rsidR="00355EB8">
        <w:t>.</w:t>
      </w:r>
    </w:p>
    <w:p w14:paraId="6A234C6D" w14:textId="5F611E70" w:rsidR="003F1564" w:rsidRDefault="00D72B57" w:rsidP="003F1564">
      <w:pPr>
        <w:pStyle w:val="Heading1"/>
        <w:rPr>
          <w:lang w:val="en-US"/>
        </w:rPr>
      </w:pPr>
      <w:r>
        <w:rPr>
          <w:lang w:val="en-US"/>
        </w:rPr>
        <w:t xml:space="preserve">FDM of DMRS ports without high PAPR </w:t>
      </w:r>
    </w:p>
    <w:p w14:paraId="2D9D43DA" w14:textId="68A4BA15" w:rsidR="00B133C2" w:rsidRDefault="000E4677" w:rsidP="007A5EEA">
      <w:pPr>
        <w:pStyle w:val="BodyText"/>
        <w:rPr>
          <w:bCs/>
        </w:rPr>
      </w:pPr>
      <w:r>
        <w:rPr>
          <w:bCs/>
          <w:lang w:val="en-US"/>
        </w:rPr>
        <w:t xml:space="preserve">The layer-mapping of single-symbol </w:t>
      </w:r>
      <w:r>
        <w:rPr>
          <w:bCs/>
        </w:rPr>
        <w:t xml:space="preserve">DM-RS for up to 4 ports PDSCH/PUSCH is illustrated in </w:t>
      </w:r>
      <w:r>
        <w:rPr>
          <w:bCs/>
        </w:rPr>
        <w:fldChar w:fldCharType="begin"/>
      </w:r>
      <w:r>
        <w:rPr>
          <w:bCs/>
        </w:rPr>
        <w:instrText xml:space="preserve"> REF _Ref510457426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bCs/>
        </w:rPr>
        <w:fldChar w:fldCharType="end"/>
      </w:r>
      <w:r w:rsidR="00B133C2">
        <w:rPr>
          <w:bCs/>
        </w:rPr>
        <w:t xml:space="preserve"> </w:t>
      </w:r>
      <w:r w:rsidR="007A5EEA" w:rsidRPr="007A5EEA">
        <w:rPr>
          <w:bCs/>
        </w:rPr>
        <w:t>from which we observe that the DM-RS sequence</w:t>
      </w:r>
      <w:r w:rsidR="00F270F7">
        <w:rPr>
          <w:bCs/>
        </w:rPr>
        <w:t>s</w:t>
      </w:r>
      <w:r w:rsidR="007A5EEA" w:rsidRPr="007A5EEA">
        <w:rPr>
          <w:bCs/>
        </w:rPr>
        <w:t xml:space="preserve"> in one CDM group </w:t>
      </w:r>
      <w:r w:rsidR="0036378D">
        <w:rPr>
          <w:bCs/>
        </w:rPr>
        <w:t>are</w:t>
      </w:r>
      <w:r w:rsidR="007A5EEA" w:rsidRPr="007A5EEA">
        <w:rPr>
          <w:bCs/>
        </w:rPr>
        <w:t xml:space="preserve"> copied into the other CDM group. Such mapping may have CM/PAPR issues when DM-RS ports from different CDM groups are spatially multiplexed such that ports are sharing same PA’s.</w:t>
      </w:r>
      <w:r w:rsidR="00B133C2">
        <w:rPr>
          <w:bCs/>
        </w:rPr>
        <w:t xml:space="preserve"> Examples of precoders where this can occur are</w:t>
      </w:r>
    </w:p>
    <w:p w14:paraId="67174D5B" w14:textId="77777777" w:rsidR="00B133C2" w:rsidRDefault="00B133C2" w:rsidP="00B133C2">
      <w:pPr>
        <w:pStyle w:val="BodyText"/>
        <w:rPr>
          <w:rStyle w:val="Strong"/>
          <w:b w:val="0"/>
          <w:szCs w:val="24"/>
        </w:rPr>
      </w:pPr>
      <w:r>
        <w:t xml:space="preserve">2-TX: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sSubPr>
          <m:e>
            <m:r>
              <w:rPr>
                <w:rStyle w:val="Strong"/>
                <w:rFonts w:ascii="Cambria Math" w:hAnsi="Cambria Math"/>
                <w:szCs w:val="24"/>
              </w:rPr>
              <m:t>P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1</m:t>
            </m:r>
          </m:sub>
        </m:sSub>
        <m:r>
          <w:rPr>
            <w:rStyle w:val="Strong"/>
            <w:rFonts w:ascii="Cambria Math" w:hAnsi="Cambria Math"/>
            <w:szCs w:val="24"/>
          </w:rPr>
          <m:t>=</m:t>
        </m:r>
        <m:f>
          <m:f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fPr>
          <m:num>
            <m:r>
              <w:rPr>
                <w:rStyle w:val="Strong"/>
                <w:rFonts w:ascii="Cambria Math" w:hAnsi="Cambria Math"/>
                <w:szCs w:val="24"/>
              </w:rPr>
              <m:t>1</m:t>
            </m:r>
          </m:num>
          <m:den>
            <m:r>
              <w:rPr>
                <w:rStyle w:val="Strong"/>
                <w:rFonts w:ascii="Cambria Math" w:hAnsi="Cambria Math"/>
                <w:szCs w:val="24"/>
              </w:rPr>
              <m:t>2</m:t>
            </m:r>
          </m:den>
        </m:f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Style w:val="Strong"/>
                    <w:rFonts w:ascii="Cambria Math" w:hAnsi="Cambria Math"/>
                    <w:b w:val="0"/>
                    <w:bCs w:val="0"/>
                    <w:i/>
                    <w:szCs w:val="24"/>
                  </w:rPr>
                </m:ctrlPr>
              </m:mPr>
              <m:mr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1</m:t>
                  </m:r>
                </m:e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1</m:t>
                  </m:r>
                </m:e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-1</m:t>
                  </m:r>
                </m:e>
              </m:mr>
            </m:m>
          </m:e>
        </m:d>
      </m:oMath>
      <w:r>
        <w:rPr>
          <w:rStyle w:val="Strong"/>
          <w:szCs w:val="24"/>
        </w:rPr>
        <w:t xml:space="preserve">,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sSubPr>
          <m:e>
            <m:r>
              <w:rPr>
                <w:rStyle w:val="Strong"/>
                <w:rFonts w:ascii="Cambria Math" w:hAnsi="Cambria Math"/>
                <w:szCs w:val="24"/>
              </w:rPr>
              <m:t>P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2</m:t>
            </m:r>
          </m:sub>
        </m:sSub>
        <m:r>
          <w:rPr>
            <w:rStyle w:val="Strong"/>
            <w:rFonts w:ascii="Cambria Math" w:hAnsi="Cambria Math"/>
            <w:szCs w:val="24"/>
          </w:rPr>
          <m:t>=</m:t>
        </m:r>
        <m:f>
          <m:f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fPr>
          <m:num>
            <m:r>
              <w:rPr>
                <w:rStyle w:val="Strong"/>
                <w:rFonts w:ascii="Cambria Math" w:hAnsi="Cambria Math"/>
                <w:szCs w:val="24"/>
              </w:rPr>
              <m:t>1</m:t>
            </m:r>
          </m:num>
          <m:den>
            <m:r>
              <w:rPr>
                <w:rStyle w:val="Strong"/>
                <w:rFonts w:ascii="Cambria Math" w:hAnsi="Cambria Math"/>
                <w:szCs w:val="24"/>
              </w:rPr>
              <m:t>2</m:t>
            </m:r>
          </m:den>
        </m:f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Style w:val="Strong"/>
                    <w:rFonts w:ascii="Cambria Math" w:hAnsi="Cambria Math"/>
                    <w:b w:val="0"/>
                    <w:bCs w:val="0"/>
                    <w:i/>
                    <w:szCs w:val="24"/>
                  </w:rPr>
                </m:ctrlPr>
              </m:mPr>
              <m:mr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1</m:t>
                  </m:r>
                </m:e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j</m:t>
                  </m:r>
                </m:e>
                <m:e>
                  <m:r>
                    <w:rPr>
                      <w:rStyle w:val="Strong"/>
                      <w:rFonts w:ascii="Cambria Math" w:hAnsi="Cambria Math"/>
                      <w:szCs w:val="24"/>
                    </w:rPr>
                    <m:t>-j</m:t>
                  </m:r>
                </m:e>
              </m:mr>
            </m:m>
          </m:e>
        </m:d>
      </m:oMath>
      <w:r>
        <w:rPr>
          <w:rStyle w:val="Strong"/>
          <w:szCs w:val="24"/>
        </w:rPr>
        <w:t xml:space="preserve"> </w:t>
      </w:r>
    </w:p>
    <w:p w14:paraId="03FF8483" w14:textId="77777777" w:rsidR="00B133C2" w:rsidRPr="009616B0" w:rsidRDefault="00B133C2" w:rsidP="00B133C2">
      <w:pPr>
        <w:pStyle w:val="BodyText"/>
      </w:pPr>
      <w:r>
        <w:t xml:space="preserve">4-TX: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14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15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16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17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9616B0">
        <w:t xml:space="preserve">, </w:t>
      </w:r>
    </w:p>
    <w:p w14:paraId="7C8B5101" w14:textId="66700A3C" w:rsidR="00B133C2" w:rsidRPr="007B40AB" w:rsidRDefault="00B133C2" w:rsidP="00B133C2">
      <w:pPr>
        <w:pStyle w:val="BodyText"/>
        <w:rPr>
          <w:rStyle w:val="Strong"/>
          <w:b w:val="0"/>
          <w:bCs w:val="0"/>
        </w:rPr>
      </w:pPr>
      <w:r w:rsidRPr="009616B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18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7B40A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19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7B40AB"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7B40A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32CE1">
        <w:t>.</w:t>
      </w:r>
    </w:p>
    <w:p w14:paraId="75D81E8E" w14:textId="0C98CC3E" w:rsidR="00AE09F6" w:rsidRPr="00AE09F6" w:rsidRDefault="00B133C2" w:rsidP="007A5EEA">
      <w:pPr>
        <w:pStyle w:val="BodyText"/>
        <w:rPr>
          <w:bCs/>
          <w:lang w:val="en-US"/>
        </w:rPr>
      </w:pPr>
      <w:r>
        <w:rPr>
          <w:bCs/>
        </w:rPr>
        <w:t xml:space="preserve">In </w:t>
      </w:r>
      <w:r w:rsidR="003D69AA">
        <w:rPr>
          <w:bCs/>
        </w:rPr>
        <w:t xml:space="preserve">DCI, </w:t>
      </w:r>
      <w:r>
        <w:rPr>
          <w:bCs/>
        </w:rPr>
        <w:t xml:space="preserve">the </w:t>
      </w:r>
      <w:r w:rsidR="00D906DE">
        <w:rPr>
          <w:bCs/>
        </w:rPr>
        <w:t>2-</w:t>
      </w:r>
      <w:r>
        <w:rPr>
          <w:bCs/>
        </w:rPr>
        <w:t xml:space="preserve">port </w:t>
      </w:r>
      <w:r w:rsidR="003D69AA">
        <w:rPr>
          <w:bCs/>
        </w:rPr>
        <w:t xml:space="preserve">antenna port </w:t>
      </w:r>
      <w:r>
        <w:rPr>
          <w:bCs/>
        </w:rPr>
        <w:t>combination {0,2} can be signalled for both type 1 and type 2</w:t>
      </w:r>
      <w:r w:rsidR="003D69AA">
        <w:rPr>
          <w:bCs/>
        </w:rPr>
        <w:t xml:space="preserve"> (TS 38.212)</w:t>
      </w:r>
      <w:r>
        <w:rPr>
          <w:bCs/>
        </w:rPr>
        <w:t xml:space="preserve"> </w:t>
      </w:r>
      <w:r w:rsidR="003D69AA">
        <w:rPr>
          <w:bCs/>
        </w:rPr>
        <w:t>which implies FDM between the two transmitted antenna ports. I</w:t>
      </w:r>
      <w:r>
        <w:rPr>
          <w:bCs/>
        </w:rPr>
        <w:t xml:space="preserve">t can be observed </w:t>
      </w:r>
      <w:r w:rsidR="003D69AA">
        <w:rPr>
          <w:bCs/>
        </w:rPr>
        <w:t xml:space="preserve">for this case a </w:t>
      </w:r>
      <w:r>
        <w:rPr>
          <w:bCs/>
        </w:rPr>
        <w:t>significantly higher CM/PAPR for symbols carrying DM-RS in comparisons to symbols carrying PDSCH/PUSCH when these ports are used together with above precoders.</w:t>
      </w:r>
      <w:r w:rsidR="00AE09F6">
        <w:rPr>
          <w:bCs/>
        </w:rPr>
        <w:t xml:space="preserve"> </w:t>
      </w:r>
      <w:r w:rsidR="001903BB">
        <w:rPr>
          <w:bCs/>
        </w:rPr>
        <w:t>We recall that r</w:t>
      </w:r>
      <w:r w:rsidR="001903BB" w:rsidRPr="001903BB">
        <w:rPr>
          <w:bCs/>
        </w:rPr>
        <w:t xml:space="preserve">obustness against highly frequency-selective radio channels </w:t>
      </w:r>
      <w:r w:rsidR="001903BB">
        <w:rPr>
          <w:bCs/>
        </w:rPr>
        <w:t>was</w:t>
      </w:r>
      <w:r w:rsidR="001903BB" w:rsidRPr="001903BB">
        <w:rPr>
          <w:bCs/>
        </w:rPr>
        <w:t xml:space="preserve"> </w:t>
      </w:r>
      <w:r w:rsidR="001903BB">
        <w:rPr>
          <w:bCs/>
        </w:rPr>
        <w:t xml:space="preserve">one </w:t>
      </w:r>
      <w:r w:rsidR="001903BB" w:rsidRPr="001903BB">
        <w:rPr>
          <w:bCs/>
        </w:rPr>
        <w:t xml:space="preserve">reasoning for </w:t>
      </w:r>
      <w:r w:rsidR="003D69AA">
        <w:rPr>
          <w:bCs/>
        </w:rPr>
        <w:t xml:space="preserve">FDM </w:t>
      </w:r>
      <w:r w:rsidR="001903BB" w:rsidRPr="001903BB">
        <w:rPr>
          <w:bCs/>
        </w:rPr>
        <w:t>multiplexing DM-RS ports from different CDM groups</w:t>
      </w:r>
      <w:r w:rsidR="001903BB">
        <w:rPr>
          <w:bCs/>
        </w:rPr>
        <w:t>.</w:t>
      </w:r>
      <w:r w:rsidR="001903BB" w:rsidRPr="001903BB">
        <w:rPr>
          <w:bCs/>
        </w:rPr>
        <w:t xml:space="preserve"> Hence, it is important to </w:t>
      </w:r>
      <w:r w:rsidR="003D69AA">
        <w:rPr>
          <w:bCs/>
        </w:rPr>
        <w:t>ensure that</w:t>
      </w:r>
      <w:r w:rsidR="003D69AA" w:rsidRPr="001903BB">
        <w:rPr>
          <w:bCs/>
        </w:rPr>
        <w:t xml:space="preserve"> </w:t>
      </w:r>
      <w:r w:rsidR="003D69AA">
        <w:rPr>
          <w:bCs/>
        </w:rPr>
        <w:t xml:space="preserve">antenna port selections that utilize </w:t>
      </w:r>
      <w:r w:rsidR="001903BB" w:rsidRPr="001903BB">
        <w:rPr>
          <w:bCs/>
        </w:rPr>
        <w:t>FDM of DM-RS ports</w:t>
      </w:r>
      <w:r w:rsidR="003D69AA">
        <w:rPr>
          <w:bCs/>
        </w:rPr>
        <w:t xml:space="preserve"> is useful in practice</w:t>
      </w:r>
      <w:r w:rsidR="001903BB">
        <w:rPr>
          <w:bCs/>
        </w:rPr>
        <w:t>.</w:t>
      </w:r>
    </w:p>
    <w:p w14:paraId="637AD6A0" w14:textId="16FE2182" w:rsidR="003D69AA" w:rsidRDefault="001903BB" w:rsidP="007A5EEA">
      <w:pPr>
        <w:pStyle w:val="BodyText"/>
        <w:rPr>
          <w:bCs/>
        </w:rPr>
      </w:pPr>
      <w:r>
        <w:rPr>
          <w:bCs/>
          <w:lang w:val="en-US"/>
        </w:rPr>
        <w:t>T</w:t>
      </w:r>
      <w:r w:rsidR="00732CE1">
        <w:rPr>
          <w:bCs/>
        </w:rPr>
        <w:t xml:space="preserve">he CM/PAPR issue due to the DM-RS mapping in </w:t>
      </w:r>
      <w:r w:rsidR="00732CE1">
        <w:rPr>
          <w:bCs/>
        </w:rPr>
        <w:fldChar w:fldCharType="begin"/>
      </w:r>
      <w:r w:rsidR="00732CE1">
        <w:rPr>
          <w:bCs/>
        </w:rPr>
        <w:instrText xml:space="preserve"> REF _Ref510457426 \h </w:instrText>
      </w:r>
      <w:r w:rsidR="00732CE1">
        <w:rPr>
          <w:bCs/>
        </w:rPr>
      </w:r>
      <w:r w:rsidR="00732CE1">
        <w:rPr>
          <w:bCs/>
        </w:rPr>
        <w:fldChar w:fldCharType="separate"/>
      </w:r>
      <w:r w:rsidR="00732CE1">
        <w:t xml:space="preserve">Figure </w:t>
      </w:r>
      <w:r w:rsidR="00732CE1">
        <w:rPr>
          <w:noProof/>
        </w:rPr>
        <w:t>1</w:t>
      </w:r>
      <w:r w:rsidR="00732CE1">
        <w:rPr>
          <w:bCs/>
        </w:rPr>
        <w:fldChar w:fldCharType="end"/>
      </w:r>
      <w:r w:rsidR="00732CE1">
        <w:rPr>
          <w:bCs/>
        </w:rPr>
        <w:t xml:space="preserve"> can</w:t>
      </w:r>
      <w:r>
        <w:rPr>
          <w:bCs/>
        </w:rPr>
        <w:t xml:space="preserve"> </w:t>
      </w:r>
      <w:r w:rsidR="00355EB8">
        <w:rPr>
          <w:bCs/>
        </w:rPr>
        <w:t xml:space="preserve">easily </w:t>
      </w:r>
      <w:r w:rsidR="00732CE1">
        <w:rPr>
          <w:bCs/>
        </w:rPr>
        <w:t>be resolved by</w:t>
      </w:r>
      <w:r w:rsidR="003D69AA">
        <w:rPr>
          <w:bCs/>
        </w:rPr>
        <w:t xml:space="preserve"> </w:t>
      </w:r>
      <w:r w:rsidR="00355EB8">
        <w:rPr>
          <w:bCs/>
        </w:rPr>
        <w:t xml:space="preserve">introducing </w:t>
      </w:r>
      <w:r w:rsidR="00D906DE">
        <w:rPr>
          <w:bCs/>
        </w:rPr>
        <w:t xml:space="preserve">the </w:t>
      </w:r>
      <w:r w:rsidR="00732CE1">
        <w:rPr>
          <w:bCs/>
        </w:rPr>
        <w:t xml:space="preserve">resource-specific DM-RS mapping </w:t>
      </w:r>
      <w:r w:rsidR="003D69AA">
        <w:rPr>
          <w:bCs/>
        </w:rPr>
        <w:t xml:space="preserve">as </w:t>
      </w:r>
      <w:r w:rsidR="00732CE1">
        <w:rPr>
          <w:bCs/>
        </w:rPr>
        <w:t xml:space="preserve">discussed in </w:t>
      </w:r>
      <w:r w:rsidR="00D72B57">
        <w:rPr>
          <w:bCs/>
        </w:rPr>
        <w:t>[1]</w:t>
      </w:r>
      <w:r w:rsidR="00732CE1">
        <w:rPr>
          <w:bCs/>
        </w:rPr>
        <w:t xml:space="preserve"> or in this particular case by considering</w:t>
      </w:r>
      <w:r w:rsidR="003D69AA">
        <w:rPr>
          <w:bCs/>
        </w:rPr>
        <w:t xml:space="preserve"> the</w:t>
      </w:r>
      <w:r w:rsidR="00732CE1">
        <w:rPr>
          <w:bCs/>
        </w:rPr>
        <w:t xml:space="preserve"> </w:t>
      </w:r>
      <w:r w:rsidR="00AE09F6">
        <w:rPr>
          <w:bCs/>
        </w:rPr>
        <w:t xml:space="preserve">FDM </w:t>
      </w:r>
      <w:r w:rsidR="00355EB8">
        <w:rPr>
          <w:bCs/>
        </w:rPr>
        <w:t xml:space="preserve">DMRS </w:t>
      </w:r>
      <w:r w:rsidR="00732CE1">
        <w:rPr>
          <w:bCs/>
        </w:rPr>
        <w:t xml:space="preserve">port combinations </w:t>
      </w:r>
      <w:r w:rsidR="003D69AA">
        <w:rPr>
          <w:bCs/>
        </w:rPr>
        <w:t xml:space="preserve">but </w:t>
      </w:r>
      <w:r w:rsidR="00732CE1">
        <w:rPr>
          <w:bCs/>
        </w:rPr>
        <w:t>associated with</w:t>
      </w:r>
      <w:r w:rsidR="003D69AA">
        <w:rPr>
          <w:bCs/>
        </w:rPr>
        <w:t xml:space="preserve"> an alternative </w:t>
      </w:r>
      <w:r w:rsidR="00732CE1">
        <w:rPr>
          <w:bCs/>
        </w:rPr>
        <w:t>OCC</w:t>
      </w:r>
      <w:r w:rsidR="003D69AA">
        <w:rPr>
          <w:bCs/>
        </w:rPr>
        <w:t>, e.g. {0,3} instead of {0,2}</w:t>
      </w:r>
      <w:r>
        <w:rPr>
          <w:bCs/>
        </w:rPr>
        <w:t xml:space="preserve">. </w:t>
      </w:r>
    </w:p>
    <w:p w14:paraId="243F16CE" w14:textId="41A7F550" w:rsidR="00D906DE" w:rsidRDefault="001903BB" w:rsidP="007A5EEA">
      <w:pPr>
        <w:pStyle w:val="BodyText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_Ref510459949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Cs/>
        </w:rPr>
        <w:fldChar w:fldCharType="end"/>
      </w:r>
      <w:r>
        <w:rPr>
          <w:bCs/>
        </w:rPr>
        <w:t xml:space="preserve"> shows t</w:t>
      </w:r>
      <w:r w:rsidR="00D906DE">
        <w:rPr>
          <w:bCs/>
        </w:rPr>
        <w:t xml:space="preserve">he CCDF of the power-to-average power ratio for the DM-RS mapping in </w:t>
      </w:r>
      <w:r w:rsidR="00AE09F6">
        <w:rPr>
          <w:bCs/>
        </w:rPr>
        <w:fldChar w:fldCharType="begin"/>
      </w:r>
      <w:r w:rsidR="00AE09F6">
        <w:rPr>
          <w:bCs/>
        </w:rPr>
        <w:instrText xml:space="preserve"> REF _Ref510457426 \h </w:instrText>
      </w:r>
      <w:r w:rsidR="00AE09F6">
        <w:rPr>
          <w:bCs/>
        </w:rPr>
      </w:r>
      <w:r w:rsidR="00AE09F6">
        <w:rPr>
          <w:bCs/>
        </w:rPr>
        <w:fldChar w:fldCharType="separate"/>
      </w:r>
      <w:r w:rsidR="00AE09F6">
        <w:t xml:space="preserve">Figure </w:t>
      </w:r>
      <w:r w:rsidR="00AE09F6">
        <w:rPr>
          <w:noProof/>
        </w:rPr>
        <w:t>1</w:t>
      </w:r>
      <w:r w:rsidR="00AE09F6">
        <w:rPr>
          <w:bCs/>
        </w:rPr>
        <w:fldChar w:fldCharType="end"/>
      </w:r>
      <w:r w:rsidR="00AE09F6">
        <w:rPr>
          <w:bCs/>
        </w:rPr>
        <w:t xml:space="preserve"> when </w:t>
      </w:r>
      <w:r w:rsidR="00D906DE">
        <w:rPr>
          <w:bCs/>
        </w:rPr>
        <w:t xml:space="preserve">using port 0 and 2 </w:t>
      </w:r>
      <w:r w:rsidR="00AE09F6">
        <w:rPr>
          <w:bCs/>
        </w:rPr>
        <w:t xml:space="preserve">in conjunction with any of the above precoders for </w:t>
      </w:r>
      <w:r w:rsidR="00AE09F6" w:rsidRPr="007A5EEA">
        <w:rPr>
          <w:bCs/>
        </w:rPr>
        <w:t>a</w:t>
      </w:r>
      <w:r w:rsidR="00AE09F6">
        <w:rPr>
          <w:bCs/>
        </w:rPr>
        <w:t>n allocation of</w:t>
      </w:r>
      <w:r w:rsidR="00D906DE" w:rsidRPr="007A5EEA">
        <w:rPr>
          <w:bCs/>
        </w:rPr>
        <w:t xml:space="preserve"> 50 RB</w:t>
      </w:r>
      <w:r w:rsidR="00AE09F6">
        <w:rPr>
          <w:bCs/>
        </w:rPr>
        <w:t xml:space="preserve">s. This CCDF is compared to corresponding CCDFs when using port 0 and 3 with any of the above precoders. Evidently, </w:t>
      </w:r>
      <w:r>
        <w:rPr>
          <w:bCs/>
        </w:rPr>
        <w:t xml:space="preserve">by using </w:t>
      </w:r>
      <w:r w:rsidR="00AE09F6">
        <w:rPr>
          <w:bCs/>
        </w:rPr>
        <w:t>the port combination {0,3}</w:t>
      </w:r>
      <w:r>
        <w:rPr>
          <w:bCs/>
        </w:rPr>
        <w:t xml:space="preserve"> instead of {0,2}</w:t>
      </w:r>
      <w:r w:rsidR="00FD0B83">
        <w:rPr>
          <w:bCs/>
        </w:rPr>
        <w:t xml:space="preserve"> </w:t>
      </w:r>
      <w:r>
        <w:rPr>
          <w:bCs/>
        </w:rPr>
        <w:t>the PAPR issue for 2-layer transmissions with above precoders</w:t>
      </w:r>
      <w:r w:rsidR="00FD0B83">
        <w:rPr>
          <w:bCs/>
        </w:rPr>
        <w:t xml:space="preserve"> can be resolved and still suppo</w:t>
      </w:r>
      <w:r w:rsidR="00696A9C">
        <w:rPr>
          <w:bCs/>
        </w:rPr>
        <w:t>rt</w:t>
      </w:r>
      <w:r w:rsidR="00CE0F0A">
        <w:rPr>
          <w:bCs/>
        </w:rPr>
        <w:t>ing</w:t>
      </w:r>
      <w:r w:rsidR="00696A9C">
        <w:rPr>
          <w:bCs/>
        </w:rPr>
        <w:t xml:space="preserve"> FDM of DM-RS ports.</w:t>
      </w:r>
    </w:p>
    <w:p w14:paraId="65394FDE" w14:textId="5293E716" w:rsidR="00AE09F6" w:rsidRPr="00696A9C" w:rsidRDefault="0020740C" w:rsidP="0020740C">
      <w:pPr>
        <w:pStyle w:val="Observation"/>
      </w:pPr>
      <w:bookmarkStart w:id="0" w:name="_Toc510776398"/>
      <w:r>
        <w:t xml:space="preserve">The high DMRS PAPR issue observed for </w:t>
      </w:r>
      <w:r w:rsidR="00ED34F0">
        <w:t xml:space="preserve">rank 2 scheduling with </w:t>
      </w:r>
      <w:r w:rsidR="001903BB" w:rsidRPr="00ED34F0">
        <w:t>port combination</w:t>
      </w:r>
      <w:r w:rsidR="00FD0B83" w:rsidRPr="00ED34F0">
        <w:t>s</w:t>
      </w:r>
      <w:r w:rsidR="001903BB" w:rsidRPr="00ED34F0">
        <w:t xml:space="preserve"> {0,</w:t>
      </w:r>
      <w:r>
        <w:t>2</w:t>
      </w:r>
      <w:r w:rsidR="001903BB" w:rsidRPr="00ED34F0">
        <w:t>}</w:t>
      </w:r>
      <w:r w:rsidR="00FD0B83" w:rsidRPr="00ED34F0">
        <w:t xml:space="preserve"> in UL and {1000,100</w:t>
      </w:r>
      <w:r>
        <w:t>2</w:t>
      </w:r>
      <w:r w:rsidR="00FD0B83" w:rsidRPr="00ED34F0">
        <w:t xml:space="preserve">} </w:t>
      </w:r>
      <w:bookmarkEnd w:id="0"/>
      <w:r>
        <w:t xml:space="preserve">in DL can be avoided by selecting </w:t>
      </w:r>
      <w:r w:rsidR="00D72B57">
        <w:t xml:space="preserve">FDM DMRS </w:t>
      </w:r>
      <w:r>
        <w:t xml:space="preserve">ports </w:t>
      </w:r>
      <w:r w:rsidR="00D72B57">
        <w:t>associated with d</w:t>
      </w:r>
      <w:r>
        <w:t xml:space="preserve">ifferent </w:t>
      </w:r>
      <w:r w:rsidR="00D72B57">
        <w:t>OCCs.</w:t>
      </w:r>
      <w:r>
        <w:t xml:space="preserve"> </w:t>
      </w:r>
    </w:p>
    <w:p w14:paraId="05DBDF47" w14:textId="77777777" w:rsidR="00732CE1" w:rsidRDefault="00732CE1" w:rsidP="007A5EEA">
      <w:pPr>
        <w:pStyle w:val="BodyText"/>
        <w:rPr>
          <w:bCs/>
        </w:rPr>
      </w:pPr>
    </w:p>
    <w:p w14:paraId="361A8B2B" w14:textId="5A1AEE41" w:rsidR="000E4677" w:rsidRPr="007A5EEA" w:rsidRDefault="000E4677" w:rsidP="000E4677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6330A28" wp14:editId="56442DA9">
            <wp:extent cx="4669200" cy="1846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9200" cy="18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F6D4E" w14:textId="400E80D2" w:rsidR="00732CE1" w:rsidRDefault="000E4677" w:rsidP="001B01AC">
      <w:pPr>
        <w:pStyle w:val="Caption"/>
        <w:rPr>
          <w:bCs w:val="0"/>
        </w:rPr>
      </w:pPr>
      <w:bookmarkStart w:id="1" w:name="_Ref5104574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2CE1">
        <w:rPr>
          <w:noProof/>
        </w:rPr>
        <w:t>1</w:t>
      </w:r>
      <w:r>
        <w:fldChar w:fldCharType="end"/>
      </w:r>
      <w:bookmarkEnd w:id="1"/>
      <w:r>
        <w:t xml:space="preserve">. Single-symbol DM-RS resource mapping for up to 4-layer transmissions. </w:t>
      </w:r>
    </w:p>
    <w:p w14:paraId="3E56D044" w14:textId="4C219A9B" w:rsidR="00732CE1" w:rsidRDefault="00732CE1" w:rsidP="00D906DE">
      <w:pPr>
        <w:pStyle w:val="BodyText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034FE21" wp14:editId="39BC88D1">
            <wp:extent cx="4266000" cy="32004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PR_plot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239D" w14:textId="79BD707E" w:rsidR="003F1564" w:rsidRPr="001B01AC" w:rsidRDefault="00732CE1" w:rsidP="001B01AC">
      <w:pPr>
        <w:pStyle w:val="Caption"/>
      </w:pPr>
      <w:bookmarkStart w:id="2" w:name="_Ref5104599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.</w:t>
      </w:r>
      <w:r w:rsidR="00D906DE">
        <w:t xml:space="preserve"> </w:t>
      </w:r>
      <w:r w:rsidR="00FD0B83">
        <w:t>P</w:t>
      </w:r>
      <w:r w:rsidR="00ED7672">
        <w:t xml:space="preserve">ower-to-average ratio </w:t>
      </w:r>
      <w:r w:rsidR="00FD0B83">
        <w:t>comparisons of r</w:t>
      </w:r>
      <w:r w:rsidR="00FD0B83" w:rsidRPr="00FD0B83">
        <w:t>ank</w:t>
      </w:r>
      <w:r w:rsidR="00B82E96">
        <w:t>-</w:t>
      </w:r>
      <w:r w:rsidR="00FD0B83" w:rsidRPr="00FD0B83">
        <w:t xml:space="preserve">2 transmissions </w:t>
      </w:r>
      <w:r w:rsidR="00FD0B83">
        <w:t xml:space="preserve">with FDM </w:t>
      </w:r>
      <w:r w:rsidR="00ED7672">
        <w:t xml:space="preserve">DMRS </w:t>
      </w:r>
      <w:r w:rsidR="00FD0B83">
        <w:t>port {0,2} and {0,3}</w:t>
      </w:r>
      <w:r w:rsidR="00C50698">
        <w:t xml:space="preserve"> when considering non-diagonal precoding</w:t>
      </w:r>
      <w:r w:rsidR="007330CE">
        <w:t>.</w:t>
      </w:r>
      <w:r w:rsidR="00C50698">
        <w:t xml:space="preserve"> </w:t>
      </w:r>
      <w:r w:rsidR="0020597F">
        <w:t xml:space="preserve"> </w:t>
      </w:r>
    </w:p>
    <w:p w14:paraId="03DC10F1" w14:textId="2568A518" w:rsidR="00267E0C" w:rsidRDefault="00267E0C" w:rsidP="0002488D">
      <w:pPr>
        <w:pStyle w:val="Heading1"/>
      </w:pPr>
      <w:r>
        <w:t>Conclusion</w:t>
      </w:r>
    </w:p>
    <w:p w14:paraId="1D3B6BED" w14:textId="0E58FB4B" w:rsidR="00267E0C" w:rsidRDefault="00355EB8" w:rsidP="00267E0C">
      <w:r>
        <w:t xml:space="preserve">In this contribution, we addressed the </w:t>
      </w:r>
      <w:r w:rsidR="002D1BC2">
        <w:t xml:space="preserve">high </w:t>
      </w:r>
      <w:r>
        <w:t xml:space="preserve">PAPR issue observed with the current mapping of DMRS in multi-layer transmissions with non-diagonal </w:t>
      </w:r>
      <w:r w:rsidR="002D1BC2">
        <w:t xml:space="preserve">precoding for the case of scheduling </w:t>
      </w:r>
      <w:r>
        <w:t>DMRS ports</w:t>
      </w:r>
      <w:r w:rsidR="002D1BC2">
        <w:t xml:space="preserve"> {0,2} in UL and {1000,1002} in DL. The following observation was made:</w:t>
      </w:r>
    </w:p>
    <w:p w14:paraId="59BFD2E0" w14:textId="7799857D" w:rsidR="004F304F" w:rsidRPr="001B01AC" w:rsidRDefault="002D1BC2" w:rsidP="00267E0C">
      <w:pPr>
        <w:rPr>
          <w:b/>
        </w:rPr>
      </w:pPr>
      <w:r w:rsidRPr="002D1BC2">
        <w:rPr>
          <w:b/>
        </w:rPr>
        <w:t>Observation 1: The high DMRS PAPR issue observed for rank 2 scheduling with port combinations {0,2} in UL and {1000,1002} in DL can be avoided by selecting FDM DMRS ports associated with different OCCs.</w:t>
      </w:r>
    </w:p>
    <w:p w14:paraId="1C80A4E3" w14:textId="16C44D74" w:rsidR="00347233" w:rsidRPr="00ED34F0" w:rsidRDefault="0002488D" w:rsidP="0002488D">
      <w:pPr>
        <w:pStyle w:val="Heading1"/>
      </w:pPr>
      <w:r w:rsidRPr="00ED34F0">
        <w:t>References</w:t>
      </w:r>
    </w:p>
    <w:p w14:paraId="445E9B75" w14:textId="2DF60DCE" w:rsidR="007332A6" w:rsidRPr="001B01AC" w:rsidRDefault="0002488D" w:rsidP="007463FF">
      <w:r w:rsidRPr="00694B21">
        <w:t>[1]</w:t>
      </w:r>
      <w:bookmarkStart w:id="3" w:name="_Ref503533391"/>
      <w:r w:rsidR="002D1BC2" w:rsidRPr="00694B21">
        <w:t xml:space="preserve"> </w:t>
      </w:r>
      <w:r w:rsidR="007332A6" w:rsidRPr="00694B21">
        <w:t>R1-18</w:t>
      </w:r>
      <w:r w:rsidR="00694B21" w:rsidRPr="00694B21">
        <w:t>06231</w:t>
      </w:r>
      <w:r w:rsidR="007332A6" w:rsidRPr="00694B21">
        <w:t>, “</w:t>
      </w:r>
      <w:r w:rsidR="0083044C" w:rsidRPr="00694B21">
        <w:t>B</w:t>
      </w:r>
      <w:r w:rsidR="00B82E96" w:rsidRPr="00694B21">
        <w:t>enefits of resource-specific DMRS</w:t>
      </w:r>
      <w:r w:rsidR="0083044C" w:rsidRPr="00694B21">
        <w:t xml:space="preserve"> mapping</w:t>
      </w:r>
      <w:r w:rsidR="007332A6" w:rsidRPr="00694B21">
        <w:t>”, Ericsso</w:t>
      </w:r>
      <w:bookmarkEnd w:id="3"/>
      <w:r w:rsidR="00B82E96" w:rsidRPr="00694B21">
        <w:t>n</w:t>
      </w:r>
    </w:p>
    <w:p w14:paraId="3B68191F" w14:textId="77777777" w:rsidR="0002488D" w:rsidRPr="00347233" w:rsidRDefault="0002488D" w:rsidP="00251916">
      <w:bookmarkStart w:id="4" w:name="_GoBack"/>
      <w:bookmarkEnd w:id="4"/>
    </w:p>
    <w:sectPr w:rsidR="0002488D" w:rsidRPr="00347233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94A76" w14:textId="77777777" w:rsidR="00771F25" w:rsidRDefault="00771F25">
      <w:r>
        <w:separator/>
      </w:r>
    </w:p>
  </w:endnote>
  <w:endnote w:type="continuationSeparator" w:id="0">
    <w:p w14:paraId="53D7B298" w14:textId="77777777" w:rsidR="00771F25" w:rsidRDefault="0077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B31825B" w:rsidR="00870352" w:rsidRDefault="008703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4B2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4B2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F9582" w14:textId="77777777" w:rsidR="00771F25" w:rsidRDefault="00771F25">
      <w:r>
        <w:separator/>
      </w:r>
    </w:p>
  </w:footnote>
  <w:footnote w:type="continuationSeparator" w:id="0">
    <w:p w14:paraId="34AE5E2E" w14:textId="77777777" w:rsidR="00771F25" w:rsidRDefault="0077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870352" w:rsidRDefault="008703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957E6"/>
    <w:multiLevelType w:val="hybridMultilevel"/>
    <w:tmpl w:val="C3400F9A"/>
    <w:lvl w:ilvl="0" w:tplc="C64AB3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665A2C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368B2C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A0CE76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761A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34DE50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22B3E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689C7A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F28CFE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87B0CCF6"/>
    <w:lvl w:ilvl="0" w:tplc="764EF25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6"/>
  </w:num>
  <w:num w:numId="15">
    <w:abstractNumId w:val="18"/>
  </w:num>
  <w:num w:numId="16">
    <w:abstractNumId w:val="38"/>
  </w:num>
  <w:num w:numId="17">
    <w:abstractNumId w:val="33"/>
  </w:num>
  <w:num w:numId="18">
    <w:abstractNumId w:val="5"/>
  </w:num>
  <w:num w:numId="19">
    <w:abstractNumId w:val="37"/>
  </w:num>
  <w:num w:numId="20">
    <w:abstractNumId w:val="8"/>
  </w:num>
  <w:num w:numId="21">
    <w:abstractNumId w:val="31"/>
  </w:num>
  <w:num w:numId="22">
    <w:abstractNumId w:val="30"/>
  </w:num>
  <w:num w:numId="23">
    <w:abstractNumId w:val="11"/>
  </w:num>
  <w:num w:numId="24">
    <w:abstractNumId w:val="21"/>
  </w:num>
  <w:num w:numId="25">
    <w:abstractNumId w:val="36"/>
  </w:num>
  <w:num w:numId="26">
    <w:abstractNumId w:val="35"/>
  </w:num>
  <w:num w:numId="27">
    <w:abstractNumId w:val="34"/>
  </w:num>
  <w:num w:numId="28">
    <w:abstractNumId w:val="25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39"/>
  </w:num>
  <w:num w:numId="34">
    <w:abstractNumId w:val="17"/>
  </w:num>
  <w:num w:numId="35">
    <w:abstractNumId w:val="24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3"/>
  </w:num>
  <w:num w:numId="38">
    <w:abstractNumId w:val="13"/>
  </w:num>
  <w:num w:numId="39">
    <w:abstractNumId w:val="10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488D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577A9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4677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3BB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1AC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597F"/>
    <w:rsid w:val="002069B2"/>
    <w:rsid w:val="0020740C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7A2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6442"/>
    <w:rsid w:val="00267C83"/>
    <w:rsid w:val="00267E0C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666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1BC2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6EB"/>
    <w:rsid w:val="00342BD7"/>
    <w:rsid w:val="00346DB5"/>
    <w:rsid w:val="00346E10"/>
    <w:rsid w:val="00347233"/>
    <w:rsid w:val="003474E4"/>
    <w:rsid w:val="003477B1"/>
    <w:rsid w:val="00355EB8"/>
    <w:rsid w:val="00356A14"/>
    <w:rsid w:val="00357380"/>
    <w:rsid w:val="003602D9"/>
    <w:rsid w:val="003604CE"/>
    <w:rsid w:val="0036056F"/>
    <w:rsid w:val="00362946"/>
    <w:rsid w:val="0036378D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D69AA"/>
    <w:rsid w:val="003E15FA"/>
    <w:rsid w:val="003E55E4"/>
    <w:rsid w:val="003E74E3"/>
    <w:rsid w:val="003E7670"/>
    <w:rsid w:val="003F05C7"/>
    <w:rsid w:val="003F1564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5DE8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04F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76207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7D7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46DCB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71E"/>
    <w:rsid w:val="00687BA5"/>
    <w:rsid w:val="00694B21"/>
    <w:rsid w:val="00695126"/>
    <w:rsid w:val="006951A6"/>
    <w:rsid w:val="00695FC2"/>
    <w:rsid w:val="00696949"/>
    <w:rsid w:val="00696A9C"/>
    <w:rsid w:val="00696DED"/>
    <w:rsid w:val="00697052"/>
    <w:rsid w:val="006A18AF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3977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2CE1"/>
    <w:rsid w:val="007330CE"/>
    <w:rsid w:val="007332A6"/>
    <w:rsid w:val="007348B1"/>
    <w:rsid w:val="00734AAF"/>
    <w:rsid w:val="007362A6"/>
    <w:rsid w:val="00736D7D"/>
    <w:rsid w:val="00737501"/>
    <w:rsid w:val="00737FB0"/>
    <w:rsid w:val="00740E58"/>
    <w:rsid w:val="00742802"/>
    <w:rsid w:val="0074315E"/>
    <w:rsid w:val="0074459E"/>
    <w:rsid w:val="007445A0"/>
    <w:rsid w:val="0074524B"/>
    <w:rsid w:val="007463FF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1F25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A5EEA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D7D2B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044C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352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380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1EC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09F6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33C2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476CF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188"/>
    <w:rsid w:val="00B75A51"/>
    <w:rsid w:val="00B761E0"/>
    <w:rsid w:val="00B769D8"/>
    <w:rsid w:val="00B81A6C"/>
    <w:rsid w:val="00B82E96"/>
    <w:rsid w:val="00B8451B"/>
    <w:rsid w:val="00B84AC6"/>
    <w:rsid w:val="00B853E1"/>
    <w:rsid w:val="00B85DE5"/>
    <w:rsid w:val="00B90F73"/>
    <w:rsid w:val="00B91A6C"/>
    <w:rsid w:val="00B929E5"/>
    <w:rsid w:val="00B934D0"/>
    <w:rsid w:val="00B93B59"/>
    <w:rsid w:val="00B9406A"/>
    <w:rsid w:val="00BA2280"/>
    <w:rsid w:val="00BA2A08"/>
    <w:rsid w:val="00BA36AD"/>
    <w:rsid w:val="00BA4847"/>
    <w:rsid w:val="00BA56D2"/>
    <w:rsid w:val="00BA61B7"/>
    <w:rsid w:val="00BA76E0"/>
    <w:rsid w:val="00BB2A25"/>
    <w:rsid w:val="00BB51E9"/>
    <w:rsid w:val="00BB717E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182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628"/>
    <w:rsid w:val="00C01F33"/>
    <w:rsid w:val="00C02A4C"/>
    <w:rsid w:val="00C02CC6"/>
    <w:rsid w:val="00C03E3F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5DB5"/>
    <w:rsid w:val="00C3719D"/>
    <w:rsid w:val="00C4445A"/>
    <w:rsid w:val="00C4762D"/>
    <w:rsid w:val="00C47FAC"/>
    <w:rsid w:val="00C50698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1DF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0F0A"/>
    <w:rsid w:val="00CE3941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6FF7"/>
    <w:rsid w:val="00D67D01"/>
    <w:rsid w:val="00D708B0"/>
    <w:rsid w:val="00D718DE"/>
    <w:rsid w:val="00D71D0A"/>
    <w:rsid w:val="00D72B57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06DE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2898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5D9F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1066"/>
    <w:rsid w:val="00EC27C6"/>
    <w:rsid w:val="00EC4207"/>
    <w:rsid w:val="00EC46E3"/>
    <w:rsid w:val="00EC5653"/>
    <w:rsid w:val="00EC71CE"/>
    <w:rsid w:val="00EC77A7"/>
    <w:rsid w:val="00ED1006"/>
    <w:rsid w:val="00ED34F0"/>
    <w:rsid w:val="00ED5E1D"/>
    <w:rsid w:val="00ED7672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270F7"/>
    <w:rsid w:val="00F30828"/>
    <w:rsid w:val="00F313D6"/>
    <w:rsid w:val="00F32F2E"/>
    <w:rsid w:val="00F35EF1"/>
    <w:rsid w:val="00F40F0C"/>
    <w:rsid w:val="00F41D9F"/>
    <w:rsid w:val="00F4540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64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0B83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5D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styleId="Strong">
    <w:name w:val="Strong"/>
    <w:basedOn w:val="DefaultParagraphFont"/>
    <w:qFormat/>
    <w:rsid w:val="007A5EEA"/>
    <w:rPr>
      <w:b/>
      <w:bCs/>
    </w:rPr>
  </w:style>
  <w:style w:type="table" w:styleId="GridTable4-Accent3">
    <w:name w:val="Grid Table 4 Accent 3"/>
    <w:basedOn w:val="TableNormal"/>
    <w:uiPriority w:val="49"/>
    <w:rsid w:val="007A5EE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eferences">
    <w:name w:val="references"/>
    <w:rsid w:val="007332A6"/>
    <w:pPr>
      <w:numPr>
        <w:numId w:val="4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8999F9-2137-4267-9812-57FDF810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</TotalTime>
  <Pages>1</Pages>
  <Words>659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8</cp:revision>
  <cp:lastPrinted>2008-01-31T15:09:00Z</cp:lastPrinted>
  <dcterms:created xsi:type="dcterms:W3CDTF">2018-05-03T12:32:00Z</dcterms:created>
  <dcterms:modified xsi:type="dcterms:W3CDTF">2018-05-09T09:06:00Z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